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3652"/>
        <w:gridCol w:w="6095"/>
      </w:tblGrid>
      <w:tr w:rsidR="005D4A70" w:rsidTr="002466A6">
        <w:trPr>
          <w:trHeight w:val="1327"/>
        </w:trPr>
        <w:tc>
          <w:tcPr>
            <w:tcW w:w="3652" w:type="dxa"/>
          </w:tcPr>
          <w:p w:rsidR="005D4A70" w:rsidRDefault="005D4A70" w:rsidP="002466A6">
            <w:pPr>
              <w:jc w:val="center"/>
            </w:pPr>
            <w:r>
              <w:t>UỶ BAN MTTQ VIỆT NAM</w:t>
            </w:r>
          </w:p>
          <w:p w:rsidR="005D4A70" w:rsidRDefault="005D4A70" w:rsidP="002466A6">
            <w:pPr>
              <w:jc w:val="center"/>
            </w:pPr>
            <w:r>
              <w:t>TỈNH HÀ TĨNH</w:t>
            </w:r>
          </w:p>
          <w:p w:rsidR="005D4A70" w:rsidRDefault="005D4A70" w:rsidP="002466A6">
            <w:pPr>
              <w:jc w:val="center"/>
              <w:rPr>
                <w:b/>
              </w:rPr>
            </w:pPr>
            <w:r w:rsidRPr="0033517B">
              <w:rPr>
                <w:noProof/>
              </w:rPr>
              <w:pict>
                <v:line id="Straight Connector 2" o:spid="_x0000_s1026" style="position:absolute;left:0;text-align:left;flip:y;z-index:251660288;visibility:visible" from="40.1pt,14.9pt" to="137.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"/>
              </w:pict>
            </w:r>
            <w:r>
              <w:rPr>
                <w:b/>
              </w:rPr>
              <w:t>BAN THƯỜNG TRỰC</w:t>
            </w:r>
          </w:p>
          <w:p w:rsidR="005D4A70" w:rsidRDefault="005D4A70" w:rsidP="002466A6">
            <w:pPr>
              <w:jc w:val="center"/>
            </w:pPr>
            <w:r>
              <w:t xml:space="preserve"> Số: 02 /KH-MT</w:t>
            </w:r>
          </w:p>
          <w:p w:rsidR="005D4A70" w:rsidRDefault="005D4A70" w:rsidP="002466A6">
            <w:pPr>
              <w:jc w:val="center"/>
              <w:rPr>
                <w:sz w:val="20"/>
              </w:rPr>
            </w:pPr>
          </w:p>
        </w:tc>
        <w:tc>
          <w:tcPr>
            <w:tcW w:w="6095" w:type="dxa"/>
          </w:tcPr>
          <w:p w:rsidR="005D4A70" w:rsidRDefault="005D4A70" w:rsidP="002466A6">
            <w:pPr>
              <w:jc w:val="center"/>
            </w:pPr>
            <w:r>
              <w:t xml:space="preserve">    CỘNG HÒA XÃ HỘI CHỦ NGHĨA VIỆT NAM</w:t>
            </w:r>
          </w:p>
          <w:p w:rsidR="005D4A70" w:rsidRDefault="005D4A70" w:rsidP="002466A6">
            <w:pPr>
              <w:jc w:val="center"/>
              <w:rPr>
                <w:b/>
              </w:rPr>
            </w:pPr>
            <w:r>
              <w:rPr>
                <w:b/>
              </w:rPr>
              <w:t>Độc lập- Tự do- Hạnh phúc</w:t>
            </w:r>
          </w:p>
          <w:p w:rsidR="005D4A70" w:rsidRDefault="005D4A70" w:rsidP="002466A6">
            <w:r>
              <w:rPr>
                <w:noProof/>
              </w:rPr>
              <w:pict>
                <v:line id="Straight Connector 1" o:spid="_x0000_s1027" style="position:absolute;z-index:251661312;visibility:visible" from="65.45pt,.65pt" to="218.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u7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"/>
              </w:pict>
            </w:r>
          </w:p>
          <w:p w:rsidR="005D4A70" w:rsidRDefault="005D4A70" w:rsidP="002466A6">
            <w:pPr>
              <w:rPr>
                <w:i/>
              </w:rPr>
            </w:pPr>
            <w:r>
              <w:rPr>
                <w:i/>
              </w:rPr>
              <w:t xml:space="preserve">                       Hà Tĩnh, ngày 02  tháng 3 năm 2018</w:t>
            </w:r>
          </w:p>
        </w:tc>
      </w:tr>
    </w:tbl>
    <w:p w:rsidR="005D4A70" w:rsidRDefault="005D4A70" w:rsidP="005D4A70"/>
    <w:p w:rsidR="005D4A70" w:rsidRDefault="005D4A70" w:rsidP="005D4A70">
      <w:pPr>
        <w:jc w:val="center"/>
        <w:rPr>
          <w:b/>
          <w:sz w:val="32"/>
          <w:szCs w:val="32"/>
        </w:rPr>
      </w:pPr>
      <w:r>
        <w:rPr>
          <w:b/>
          <w:sz w:val="32"/>
          <w:szCs w:val="32"/>
        </w:rPr>
        <w:t>KẾ HOẠCH</w:t>
      </w:r>
    </w:p>
    <w:p w:rsidR="005D4A70" w:rsidRDefault="005D4A70" w:rsidP="005D4A70">
      <w:pPr>
        <w:jc w:val="center"/>
        <w:rPr>
          <w:b/>
          <w:szCs w:val="30"/>
        </w:rPr>
      </w:pPr>
      <w:r>
        <w:rPr>
          <w:b/>
          <w:szCs w:val="30"/>
        </w:rPr>
        <w:t>Giám sát, phản biện xã hội của Ủy ban Mặt trận Tổ quốc tỉnh năm 2018</w:t>
      </w:r>
    </w:p>
    <w:p w:rsidR="005D4A70" w:rsidRDefault="005D4A70" w:rsidP="005D4A70">
      <w:pPr>
        <w:spacing w:after="120"/>
        <w:jc w:val="center"/>
      </w:pPr>
    </w:p>
    <w:p w:rsidR="005D4A70" w:rsidRDefault="005D4A70" w:rsidP="005D4A70">
      <w:pPr>
        <w:spacing w:before="60" w:after="60"/>
        <w:ind w:firstLine="720"/>
        <w:jc w:val="both"/>
        <w:rPr>
          <w:spacing w:val="-4"/>
        </w:rPr>
      </w:pPr>
      <w:r>
        <w:rPr>
          <w:bCs/>
          <w:color w:val="000000"/>
          <w:spacing w:val="-4"/>
        </w:rPr>
        <w:t xml:space="preserve">Căn cứ Luật MTTQ Việt Nam; Điều lệ MTTQ Việt Nam; Nghị quyết liên tịch số 403/2017/NQLT-UBTVQH14-CP-ĐCTUBTWMTTQVN ngày 15/6/2017 của Ủy ban Thường vụ Quốc hội, Chính phủ và Đoàn Chủ tịch Ủy ban Trung ương MTTQ Việt Nam quy định chi tiết các hình thức giám sát, phản biện xã hội của Mặt trận Tổ quốc Việt Nam; Thông tri số </w:t>
      </w:r>
      <w:r>
        <w:rPr>
          <w:color w:val="000000"/>
          <w:spacing w:val="-4"/>
        </w:rPr>
        <w:t>23/TTr-MTTW-BTT ngày 21/7/2017 của Ban Thường trực Ủy ban Trung ương MTTQ Việt Nam về việchướng dẫn quy trình giám sát, phản biện xã hội của MTTQ Việt Nam</w:t>
      </w:r>
      <w:r>
        <w:rPr>
          <w:spacing w:val="-4"/>
        </w:rPr>
        <w:t xml:space="preserve">; Chương trình phối hợp và thống nhất hành động của MTTQ Việt Nam năm 2018, </w:t>
      </w:r>
    </w:p>
    <w:p w:rsidR="005D4A70" w:rsidRDefault="005D4A70" w:rsidP="005D4A70">
      <w:pPr>
        <w:spacing w:before="60" w:after="60"/>
        <w:ind w:firstLine="720"/>
        <w:jc w:val="both"/>
        <w:rPr>
          <w:spacing w:val="-4"/>
        </w:rPr>
      </w:pPr>
      <w:r>
        <w:rPr>
          <w:spacing w:val="-4"/>
        </w:rPr>
        <w:t>Sau khi thống nhất với các tổ chức chính trị - xã hội, Ban Thường trực Ủy ban MTTQ tỉnh ban hành  kế hoạch giám sát, phản biện xã hội của Ủy ban MTTQ tỉnh năm 2018 như sau:</w:t>
      </w:r>
    </w:p>
    <w:p w:rsidR="005D4A70" w:rsidRDefault="005D4A70" w:rsidP="005D4A70">
      <w:pPr>
        <w:pStyle w:val="NormalWeb"/>
        <w:spacing w:before="60" w:beforeAutospacing="0" w:after="60" w:afterAutospacing="0"/>
        <w:ind w:firstLine="720"/>
        <w:jc w:val="both"/>
        <w:rPr>
          <w:b/>
          <w:sz w:val="28"/>
          <w:szCs w:val="28"/>
        </w:rPr>
      </w:pPr>
      <w:r>
        <w:rPr>
          <w:b/>
          <w:sz w:val="28"/>
          <w:szCs w:val="28"/>
        </w:rPr>
        <w:t>I. MỤC ĐÍCH, YÊU CẦU</w:t>
      </w:r>
    </w:p>
    <w:p w:rsidR="005D4A70" w:rsidRDefault="005D4A70" w:rsidP="005D4A70">
      <w:pPr>
        <w:pStyle w:val="NormalWeb"/>
        <w:spacing w:before="60" w:beforeAutospacing="0" w:after="60" w:afterAutospacing="0"/>
        <w:ind w:firstLine="720"/>
        <w:jc w:val="both"/>
        <w:rPr>
          <w:b/>
          <w:sz w:val="28"/>
          <w:szCs w:val="28"/>
        </w:rPr>
      </w:pPr>
      <w:r>
        <w:rPr>
          <w:b/>
          <w:sz w:val="28"/>
          <w:szCs w:val="28"/>
        </w:rPr>
        <w:t>1. Mục đích</w:t>
      </w:r>
    </w:p>
    <w:p w:rsidR="005D4A70" w:rsidRDefault="005D4A70" w:rsidP="005D4A70">
      <w:pPr>
        <w:pStyle w:val="NormalWeb"/>
        <w:spacing w:before="60" w:beforeAutospacing="0" w:after="60" w:afterAutospacing="0"/>
        <w:ind w:firstLine="720"/>
        <w:jc w:val="both"/>
        <w:rPr>
          <w:bCs/>
          <w:sz w:val="28"/>
          <w:szCs w:val="28"/>
        </w:rPr>
      </w:pPr>
      <w:r>
        <w:rPr>
          <w:bCs/>
          <w:sz w:val="28"/>
          <w:szCs w:val="28"/>
        </w:rPr>
        <w:t>- Phát huy vai trò của Mặt trận Tổ quốc Việt Nam, các tổ chức chính trị - xã hội đại diện, bảo vệ quyền và lợi ích hợp pháp, chính đáng của Nhân dân,  góp phần nâng cao hiệu lực, hiệu quả quản lý nhà nước, hiệu quả hoạt động của các cơ quan, tổ chức trong hệ thống chính trị.</w:t>
      </w:r>
    </w:p>
    <w:p w:rsidR="005D4A70" w:rsidRDefault="005D4A70" w:rsidP="005D4A70">
      <w:pPr>
        <w:pStyle w:val="NormalWeb"/>
        <w:spacing w:before="60" w:beforeAutospacing="0" w:after="60" w:afterAutospacing="0"/>
        <w:ind w:firstLine="720"/>
        <w:jc w:val="both"/>
        <w:rPr>
          <w:bCs/>
          <w:sz w:val="28"/>
          <w:szCs w:val="28"/>
        </w:rPr>
      </w:pPr>
      <w:r>
        <w:rPr>
          <w:bCs/>
          <w:sz w:val="28"/>
          <w:szCs w:val="28"/>
        </w:rPr>
        <w:t>- Kịp thời phát hiện và kiến nghị xử lý sai phạm, khuyết điểm; kiến nghị sửa đổi, bổ sung chính sách, pháp luật, phát huy quyền làm chủ của Nhân dân, tăng cường đồng thuận xã hội, xây dựng khối đại đoàn kết toàn dân.</w:t>
      </w:r>
    </w:p>
    <w:p w:rsidR="005D4A70" w:rsidRDefault="005D4A70" w:rsidP="005D4A70">
      <w:pPr>
        <w:pStyle w:val="NormalWeb"/>
        <w:spacing w:before="60" w:beforeAutospacing="0" w:after="60" w:afterAutospacing="0"/>
        <w:ind w:firstLine="720"/>
        <w:jc w:val="both"/>
        <w:rPr>
          <w:b/>
          <w:bCs/>
          <w:color w:val="auto"/>
          <w:sz w:val="28"/>
          <w:szCs w:val="28"/>
        </w:rPr>
      </w:pPr>
      <w:r>
        <w:rPr>
          <w:b/>
          <w:bCs/>
          <w:color w:val="auto"/>
          <w:sz w:val="28"/>
          <w:szCs w:val="28"/>
        </w:rPr>
        <w:t>2. Yêu cầu</w:t>
      </w:r>
    </w:p>
    <w:p w:rsidR="005D4A70" w:rsidRDefault="005D4A70" w:rsidP="005D4A70">
      <w:pPr>
        <w:pStyle w:val="NormalWeb"/>
        <w:spacing w:before="60" w:beforeAutospacing="0" w:after="60" w:afterAutospacing="0"/>
        <w:ind w:firstLine="720"/>
        <w:jc w:val="both"/>
        <w:rPr>
          <w:sz w:val="28"/>
          <w:szCs w:val="28"/>
        </w:rPr>
      </w:pPr>
      <w:r>
        <w:rPr>
          <w:bCs/>
          <w:sz w:val="28"/>
          <w:szCs w:val="28"/>
        </w:rPr>
        <w:t xml:space="preserve">Việc tổ chức triển khai thực hiện các hoạt động giám sát, phản biện xã hội phải bảo đảm các nguyên tắc, quy định của pháp luật; không làm ảnh hưởng đến hoạt động của các cơ quan, tổ chức chịu sự giám sát, phản biện xã hội; có sự phối hợp chặt chẽ giữa Mặt trận,  </w:t>
      </w:r>
      <w:r>
        <w:rPr>
          <w:spacing w:val="-4"/>
          <w:sz w:val="28"/>
          <w:szCs w:val="28"/>
        </w:rPr>
        <w:t>các tổ chức chính trị - xã hội</w:t>
      </w:r>
      <w:r>
        <w:rPr>
          <w:bCs/>
          <w:sz w:val="28"/>
          <w:szCs w:val="28"/>
        </w:rPr>
        <w:t xml:space="preserve"> với các tổ chức, cá nhân có liên quan; bảo đảm khách quan, công khai, hiệu quả thiết thực và mang tính xây dựng, phù hợp với chủ trương, đường lối của Đảng và pháp luật của Nhà nước.</w:t>
      </w:r>
    </w:p>
    <w:p w:rsidR="005D4A70" w:rsidRDefault="005D4A70" w:rsidP="005D4A70">
      <w:pPr>
        <w:pStyle w:val="NormalWeb"/>
        <w:spacing w:before="60" w:beforeAutospacing="0" w:after="60" w:afterAutospacing="0"/>
        <w:ind w:firstLine="720"/>
        <w:jc w:val="both"/>
        <w:rPr>
          <w:b/>
          <w:sz w:val="28"/>
          <w:szCs w:val="28"/>
        </w:rPr>
      </w:pPr>
      <w:r>
        <w:rPr>
          <w:b/>
          <w:sz w:val="28"/>
          <w:szCs w:val="28"/>
        </w:rPr>
        <w:t>II. HOẠT ĐỘNG GIÁM SÁT</w:t>
      </w:r>
    </w:p>
    <w:p w:rsidR="005D4A70" w:rsidRDefault="005D4A70" w:rsidP="005D4A70">
      <w:pPr>
        <w:spacing w:before="60" w:after="60"/>
        <w:ind w:firstLine="720"/>
        <w:jc w:val="both"/>
        <w:rPr>
          <w:b/>
        </w:rPr>
      </w:pPr>
      <w:r>
        <w:rPr>
          <w:b/>
        </w:rPr>
        <w:t>1. Các hoạt động giám sát do Ban Thường trực Ủy ban MTTQ tỉnh chủ trì thực hiện</w:t>
      </w:r>
    </w:p>
    <w:p w:rsidR="005D4A70" w:rsidRDefault="005D4A70" w:rsidP="005D4A70">
      <w:pPr>
        <w:spacing w:before="60" w:after="60"/>
        <w:ind w:firstLine="720"/>
        <w:jc w:val="both"/>
      </w:pPr>
      <w:r>
        <w:rPr>
          <w:i/>
        </w:rPr>
        <w:t>1.1. Thực trạng  việc cấp giấy chứng nhận quyền sử dụng đất ở, đất nông nghiệp cho các hộ gia đình, cá nhân trên địa bàn tỉnh</w:t>
      </w:r>
      <w:r>
        <w:t>.</w:t>
      </w:r>
    </w:p>
    <w:p w:rsidR="005D4A70" w:rsidRDefault="005D4A70" w:rsidP="005D4A70">
      <w:pPr>
        <w:spacing w:before="60" w:after="60"/>
        <w:ind w:firstLine="720"/>
        <w:jc w:val="both"/>
      </w:pPr>
      <w:r>
        <w:lastRenderedPageBreak/>
        <w:t>- Phạm vi giám sát: Kết quả, tiến độ,  những bất cập, khó khăn trong quá trình thực hiện việc cấp giấy chứng nhận quyền sử dụng đất ở, đất nông nghiệp cho các hộ gia đình, cá nhân trên địa bàn tỉnh.</w:t>
      </w:r>
    </w:p>
    <w:p w:rsidR="005D4A70" w:rsidRDefault="005D4A70" w:rsidP="005D4A70">
      <w:pPr>
        <w:spacing w:before="60" w:after="60"/>
        <w:ind w:firstLine="720"/>
        <w:jc w:val="both"/>
      </w:pPr>
      <w:r>
        <w:t>- Đối tượng giám sát: Sở Tài nguyên và Môi trường; Ủy ban nhân dân 13 huyện, thành phố, thị xã.</w:t>
      </w:r>
    </w:p>
    <w:p w:rsidR="005D4A70" w:rsidRDefault="005D4A70" w:rsidP="005D4A70">
      <w:pPr>
        <w:spacing w:before="60" w:after="60"/>
        <w:ind w:firstLine="720"/>
        <w:jc w:val="both"/>
      </w:pPr>
      <w:r>
        <w:t>- Thời gian tiến hành: Dự kiến trong tháng 4,5/2018</w:t>
      </w:r>
    </w:p>
    <w:p w:rsidR="005D4A70" w:rsidRDefault="005D4A70" w:rsidP="005D4A70">
      <w:pPr>
        <w:spacing w:before="60" w:after="60"/>
        <w:ind w:firstLine="720"/>
        <w:jc w:val="both"/>
        <w:rPr>
          <w:i/>
        </w:rPr>
      </w:pPr>
      <w:r>
        <w:rPr>
          <w:i/>
        </w:rPr>
        <w:t xml:space="preserve">1.2. Việc thực hiện chính sách pháp luật về Bảo hiểm y tế đối với hộ nghèo, hộ cận nghèo trên địa bàn tỉnh. </w:t>
      </w:r>
    </w:p>
    <w:p w:rsidR="005D4A70" w:rsidRDefault="005D4A70" w:rsidP="005D4A70">
      <w:pPr>
        <w:spacing w:before="60" w:after="60"/>
        <w:ind w:firstLine="720"/>
        <w:jc w:val="both"/>
      </w:pPr>
      <w:r>
        <w:t>-  Phạm vi giám sát: Kết quả việc cấp thẻ và sử dụng thẻ Bảo hiểm y tế cho hộ nghèo, hộ cận nghèo trên địa bàn tỉnh.</w:t>
      </w:r>
    </w:p>
    <w:p w:rsidR="005D4A70" w:rsidRDefault="005D4A70" w:rsidP="005D4A70">
      <w:pPr>
        <w:spacing w:before="60" w:after="60"/>
        <w:ind w:firstLine="720"/>
        <w:jc w:val="both"/>
      </w:pPr>
      <w:r>
        <w:t>- Đối tượng giám sát: Bảo hiểm xã hội tỉnh, Bệnh viện đa khoa tỉnh, Ủy ban nhân dân và một số bệnh viện tuyến huyện.</w:t>
      </w:r>
    </w:p>
    <w:p w:rsidR="005D4A70" w:rsidRDefault="005D4A70" w:rsidP="005D4A70">
      <w:pPr>
        <w:spacing w:before="60" w:after="60"/>
        <w:ind w:firstLine="720"/>
        <w:jc w:val="both"/>
      </w:pPr>
      <w:r>
        <w:t>- Thời gian tiến hành: Dự kiến trong tháng 9,10/2018</w:t>
      </w:r>
    </w:p>
    <w:p w:rsidR="005D4A70" w:rsidRDefault="005D4A70" w:rsidP="005D4A70">
      <w:pPr>
        <w:spacing w:before="60" w:after="60"/>
        <w:ind w:firstLine="720"/>
        <w:rPr>
          <w:b/>
        </w:rPr>
      </w:pPr>
      <w:r>
        <w:rPr>
          <w:b/>
        </w:rPr>
        <w:t>2.  Các hoạt động giám sát do các tổ chức chính trị - xã hội chủ trì thực hiện</w:t>
      </w:r>
    </w:p>
    <w:p w:rsidR="005D4A70" w:rsidRDefault="005D4A70" w:rsidP="005D4A70">
      <w:pPr>
        <w:spacing w:before="60" w:after="60"/>
        <w:ind w:firstLine="720"/>
        <w:rPr>
          <w:szCs w:val="26"/>
        </w:rPr>
      </w:pPr>
      <w:r>
        <w:t>2.1. Hội Cựu chiến binh tỉnh</w:t>
      </w:r>
    </w:p>
    <w:p w:rsidR="005D4A70" w:rsidRDefault="005D4A70" w:rsidP="005D4A70">
      <w:pPr>
        <w:spacing w:before="60" w:after="60"/>
        <w:ind w:firstLine="720"/>
        <w:jc w:val="both"/>
        <w:rPr>
          <w:szCs w:val="26"/>
        </w:rPr>
      </w:pPr>
      <w:r>
        <w:rPr>
          <w:szCs w:val="26"/>
        </w:rPr>
        <w:t xml:space="preserve">- Sự quan tâm lãnh đạo, chỉ đạo của các cấp ủy Đảng đối với chính sách người có công, với tổ chức Hội và cán bộ, hội viên CCB theo tinh thần Nghị quyết số 09-NQ/TW ngày 08/01/2002 của Bộ chính trị và Kết luận 66 của Ban Bí Thư TW Đảng (Khóa X) về </w:t>
      </w:r>
      <w:r>
        <w:rPr>
          <w:i/>
          <w:szCs w:val="26"/>
        </w:rPr>
        <w:t>“Tăng cường sự lãnh đạo của Đảng đối với công tác CCB trong giai đoạn Cách mạng mới”</w:t>
      </w:r>
      <w:r>
        <w:rPr>
          <w:szCs w:val="26"/>
        </w:rPr>
        <w:t>.</w:t>
      </w:r>
    </w:p>
    <w:p w:rsidR="005D4A70" w:rsidRDefault="005D4A70" w:rsidP="005D4A70">
      <w:pPr>
        <w:spacing w:before="60" w:after="60"/>
        <w:ind w:firstLine="720"/>
        <w:jc w:val="both"/>
        <w:rPr>
          <w:szCs w:val="26"/>
        </w:rPr>
      </w:pPr>
      <w:r>
        <w:rPr>
          <w:szCs w:val="26"/>
        </w:rPr>
        <w:t xml:space="preserve">- Công tác lãnh đạo, chỉ đạo; sự quan tâm của các cấp ủy Đảng và việc tổ chức thực hiện của Chính quyền trong thực hiện pháp lệnh CCB và Nghị định 150/2006/NĐ-CP ngày 12/12/2006 của Chính phủ </w:t>
      </w:r>
      <w:r>
        <w:rPr>
          <w:i/>
          <w:szCs w:val="26"/>
        </w:rPr>
        <w:t>“Quy định chi tiết thi hành và hướng dẫn thi hành một số điều của pháp lệnh CCB”.</w:t>
      </w:r>
    </w:p>
    <w:p w:rsidR="005D4A70" w:rsidRDefault="005D4A70" w:rsidP="005D4A70">
      <w:pPr>
        <w:spacing w:before="60" w:after="60"/>
        <w:ind w:firstLine="720"/>
        <w:jc w:val="both"/>
        <w:rPr>
          <w:szCs w:val="26"/>
        </w:rPr>
      </w:pPr>
      <w:r>
        <w:rPr>
          <w:szCs w:val="26"/>
        </w:rPr>
        <w:t>- Thực hiện các chế độ chính sách đối với CCB được quy định tại Điều 10 Nghị định 150/2006NĐ-CP và Thông tư liên tịch số 10/2007 ngày 25/7/2007.</w:t>
      </w:r>
    </w:p>
    <w:p w:rsidR="005D4A70" w:rsidRDefault="005D4A70" w:rsidP="005D4A70">
      <w:pPr>
        <w:spacing w:before="60" w:after="60"/>
        <w:ind w:firstLine="720"/>
        <w:jc w:val="both"/>
        <w:rPr>
          <w:szCs w:val="26"/>
        </w:rPr>
      </w:pPr>
      <w:r>
        <w:rPr>
          <w:szCs w:val="26"/>
        </w:rPr>
        <w:t xml:space="preserve">- Chính quyền các cấp đảm bảo sự ưu tiên theo Khoản 2, Khoản 3 - Điều 5 </w:t>
      </w:r>
      <w:r>
        <w:rPr>
          <w:i/>
          <w:szCs w:val="26"/>
        </w:rPr>
        <w:t>“Quyền lợi của CCB”</w:t>
      </w:r>
      <w:r>
        <w:rPr>
          <w:szCs w:val="26"/>
        </w:rPr>
        <w:t xml:space="preserve"> của pháp lệnh CCB.</w:t>
      </w:r>
    </w:p>
    <w:p w:rsidR="005D4A70" w:rsidRDefault="005D4A70" w:rsidP="005D4A70">
      <w:pPr>
        <w:spacing w:before="60" w:after="60"/>
        <w:ind w:firstLine="720"/>
        <w:jc w:val="both"/>
        <w:rPr>
          <w:b/>
          <w:szCs w:val="26"/>
        </w:rPr>
      </w:pPr>
      <w:r>
        <w:rPr>
          <w:b/>
          <w:szCs w:val="26"/>
        </w:rPr>
        <w:t xml:space="preserve">2.2.  Hội Liên hiệp phụ nữ tỉnh </w:t>
      </w:r>
    </w:p>
    <w:p w:rsidR="005D4A70" w:rsidRDefault="005D4A70" w:rsidP="005D4A70">
      <w:pPr>
        <w:spacing w:before="60" w:after="60"/>
        <w:ind w:firstLine="720"/>
        <w:jc w:val="both"/>
        <w:rPr>
          <w:szCs w:val="26"/>
        </w:rPr>
      </w:pPr>
      <w:r>
        <w:rPr>
          <w:szCs w:val="26"/>
        </w:rPr>
        <w:t>- Việc thực hiện vệ sinh an toàn thực phẩm trong các cơ sở kinh doanh chế biến thực phẩm.</w:t>
      </w:r>
    </w:p>
    <w:p w:rsidR="005D4A70" w:rsidRDefault="005D4A70" w:rsidP="005D4A70">
      <w:pPr>
        <w:spacing w:before="60" w:after="60"/>
        <w:ind w:firstLine="720"/>
        <w:jc w:val="both"/>
        <w:rPr>
          <w:szCs w:val="26"/>
        </w:rPr>
      </w:pPr>
      <w:r>
        <w:rPr>
          <w:szCs w:val="26"/>
        </w:rPr>
        <w:t>- Việc thực hiện Khoản 3 Điều 54 Luật Bảo hiểm xã hội về điều kiện hưởng lương hưu của lao động nữ là người hoạt động chuyên trách hoặc không chuyên trách ở xã, phường, thị trấn.</w:t>
      </w:r>
    </w:p>
    <w:p w:rsidR="005D4A70" w:rsidRDefault="005D4A70" w:rsidP="005D4A70">
      <w:pPr>
        <w:spacing w:before="60" w:after="60"/>
        <w:ind w:firstLine="720"/>
        <w:jc w:val="both"/>
        <w:rPr>
          <w:b/>
        </w:rPr>
      </w:pPr>
      <w:r>
        <w:rPr>
          <w:b/>
        </w:rPr>
        <w:t xml:space="preserve">2.3.  Liên Đoàn lao động tỉnh </w:t>
      </w:r>
    </w:p>
    <w:p w:rsidR="005D4A70" w:rsidRDefault="005D4A70" w:rsidP="005D4A70">
      <w:pPr>
        <w:spacing w:before="60" w:after="60"/>
        <w:ind w:firstLine="720"/>
        <w:jc w:val="both"/>
      </w:pPr>
      <w:r>
        <w:t>- Việc thực hiện chế độ BHXH, BHYT và các chế độ chính sách liên quan đến quyền và lợi ích hợp pháp, chính đáng của người lao động theo quy định của pháp trong các doanh nghiệp,  kể cả doanh nghiệp chưa có tổ chưa công doàn.</w:t>
      </w:r>
    </w:p>
    <w:p w:rsidR="005D4A70" w:rsidRDefault="005D4A70" w:rsidP="005D4A70">
      <w:pPr>
        <w:spacing w:before="60" w:after="60"/>
        <w:ind w:firstLine="720"/>
        <w:jc w:val="both"/>
      </w:pPr>
      <w:r>
        <w:t>- Giám sát việc thực hiện Nghị định 191/2013/ND-CP ngày 21/11/2013 của Chính phủ quy định chi tiết về tài chính công đoàn tại một só doanh nghiệp sử dụng lao động từ 20 người trở lênn (kể cả doanh nghiệp chưa có tổ chức công đoàn).</w:t>
      </w:r>
    </w:p>
    <w:p w:rsidR="005D4A70" w:rsidRDefault="005D4A70" w:rsidP="005D4A70">
      <w:pPr>
        <w:spacing w:before="60" w:after="60"/>
        <w:ind w:firstLine="720"/>
        <w:jc w:val="both"/>
        <w:rPr>
          <w:b/>
        </w:rPr>
      </w:pPr>
      <w:r>
        <w:rPr>
          <w:b/>
        </w:rPr>
        <w:lastRenderedPageBreak/>
        <w:t xml:space="preserve">2.4.  Đoàn Thanh niên Cộng sản Hồ Chí Minh tỉnh </w:t>
      </w:r>
    </w:p>
    <w:p w:rsidR="005D4A70" w:rsidRDefault="005D4A70" w:rsidP="005D4A70">
      <w:pPr>
        <w:spacing w:before="60" w:after="60"/>
        <w:ind w:firstLine="720"/>
        <w:jc w:val="both"/>
      </w:pPr>
      <w:r>
        <w:t>- Việc thực hiện Chỉ thị 42-/TW, ngày 24/3/2015 của Ban Bí thư Trung ương Đảng về “Tăng cường sự lãnh đạo của Đảng đối với công tác giáo dục lý tưởng cách mạng, đạo đức, lối sống văn hóa cho thế hệ trẻ, giai đoạn 2015 - 2030”.</w:t>
      </w:r>
    </w:p>
    <w:p w:rsidR="005D4A70" w:rsidRDefault="005D4A70" w:rsidP="005D4A70">
      <w:pPr>
        <w:spacing w:before="60" w:after="60"/>
        <w:ind w:firstLine="720"/>
        <w:jc w:val="both"/>
      </w:pPr>
      <w:r>
        <w:t>- Việc thực hiện Đề án “ Tăng cường giáo dục lý tưởng cách mạng, đạo đức, lối sống cho thanh niên, thiếu niên và nhi đồng giai đoạn 2015 - 2020” của Thủ tướng Chính phủ’ Chiến lược phát triển thanh niên và Nghị quyết số 45-NQ/CP của Chính phủ về “Ban hành Chương trình hành động của Chính phủ thực hiện Nghị quyết hội nghị lần thứ bảy Ban Chấp hành Trung ương Đảng khóa X về tăng cường sự lãnh đạo của Đảng đối với công tác thanh niên thời kỳ đẩy mạnh công nghiệp hóa, hiện đại hóa”.</w:t>
      </w:r>
    </w:p>
    <w:p w:rsidR="005D4A70" w:rsidRDefault="005D4A70" w:rsidP="005D4A70">
      <w:pPr>
        <w:spacing w:before="60" w:after="60"/>
        <w:ind w:firstLine="720"/>
        <w:jc w:val="both"/>
      </w:pPr>
      <w:r>
        <w:t>- Việc thực hiện Nghị quyết số 25-NQ/TW, ngày 25/7/2008 của Ban Chấp hành Trung ương về “Tăng cường sự lãnh đạo của Đảng đối với công tác thanh niên thời kỳ đẩy mạnh công nghiệp hóa, hiện đại hóa”.</w:t>
      </w:r>
    </w:p>
    <w:p w:rsidR="005D4A70" w:rsidRDefault="005D4A70" w:rsidP="005D4A70">
      <w:pPr>
        <w:spacing w:before="60" w:after="60"/>
        <w:ind w:firstLine="720"/>
        <w:jc w:val="both"/>
        <w:rPr>
          <w:b/>
        </w:rPr>
      </w:pPr>
      <w:r>
        <w:rPr>
          <w:b/>
        </w:rPr>
        <w:t>3. Nội dung giám sát do Ban Thường trực Ủy ban MTTQ tỉnh phối hợp thực hiện</w:t>
      </w:r>
    </w:p>
    <w:p w:rsidR="005D4A70" w:rsidRDefault="005D4A70" w:rsidP="005D4A70">
      <w:pPr>
        <w:spacing w:before="60" w:after="60"/>
        <w:ind w:firstLine="720"/>
        <w:jc w:val="both"/>
      </w:pPr>
      <w:r>
        <w:t xml:space="preserve">Trong năm 2018, Ban Thường trực Ủy ban MTTQ tỉnh tiếp tục thực hiện hoạt động </w:t>
      </w:r>
      <w:r>
        <w:rPr>
          <w:spacing w:val="-2"/>
        </w:rPr>
        <w:t xml:space="preserve">kiểm tra, giám sát theo </w:t>
      </w:r>
      <w:r>
        <w:t>Quy chế phối hợp</w:t>
      </w:r>
      <w:r>
        <w:rPr>
          <w:bCs/>
        </w:rPr>
        <w:t xml:space="preserve"> công tác </w:t>
      </w:r>
      <w:r>
        <w:t xml:space="preserve">giữa Ban Thường trực </w:t>
      </w:r>
      <w:r>
        <w:rPr>
          <w:bCs/>
        </w:rPr>
        <w:t xml:space="preserve">Ủy ban </w:t>
      </w:r>
      <w:r>
        <w:t>MTTQ tỉnh</w:t>
      </w:r>
      <w:r>
        <w:rPr>
          <w:bCs/>
        </w:rPr>
        <w:t xml:space="preserve"> và Viện Kiểm sát nhân dân tỉnh; tham gia phối hợp với Thường trực HĐND tỉnh, các Ban của HĐND tỉnh giám sát </w:t>
      </w:r>
      <w:r>
        <w:t>việc giải quyết kiến nghị của cử tri gửi đến kỳ họp thứ 5, thứ 6 của HĐND tỉnh; tham gia một số hoạt động giám sát theo đề nghị của Đoàn đại biểu Quốc hội tỉnh, Thường trực HĐND tỉnh, cac ban HĐND tỉnh, các cơ quan, ban, ngành cấp tỉnh.</w:t>
      </w:r>
    </w:p>
    <w:p w:rsidR="005D4A70" w:rsidRDefault="005D4A70" w:rsidP="005D4A70">
      <w:pPr>
        <w:spacing w:before="60" w:after="60"/>
        <w:ind w:firstLine="720"/>
        <w:jc w:val="both"/>
        <w:rPr>
          <w:b/>
          <w:bCs/>
          <w:color w:val="000000"/>
        </w:rPr>
      </w:pPr>
      <w:r>
        <w:rPr>
          <w:b/>
          <w:bCs/>
          <w:color w:val="000000"/>
        </w:rPr>
        <w:t>III. CÔNG TÁC PHẢN BIỆN XÃ HỘI</w:t>
      </w:r>
    </w:p>
    <w:p w:rsidR="005D4A70" w:rsidRDefault="005D4A70" w:rsidP="005D4A70">
      <w:pPr>
        <w:spacing w:before="60" w:after="60"/>
        <w:ind w:firstLine="720"/>
        <w:jc w:val="both"/>
        <w:rPr>
          <w:bCs/>
          <w:color w:val="000000"/>
        </w:rPr>
      </w:pPr>
      <w:r>
        <w:rPr>
          <w:bCs/>
          <w:color w:val="000000"/>
        </w:rPr>
        <w:t>1. Tham gia đóng góp ý kiến vào các dự thảo Luật, các chương trình, đề án phát triển kinh tế, xã hội của tỉnh liên quan trực tiếp đến chức năng, quyền hạn của MTTQ , quyền và lợi ích của người dân.</w:t>
      </w:r>
    </w:p>
    <w:p w:rsidR="005D4A70" w:rsidRDefault="005D4A70" w:rsidP="005D4A70">
      <w:pPr>
        <w:spacing w:before="60" w:after="60"/>
        <w:ind w:firstLine="720"/>
        <w:jc w:val="both"/>
        <w:rPr>
          <w:bCs/>
          <w:color w:val="000000"/>
        </w:rPr>
      </w:pPr>
      <w:r>
        <w:rPr>
          <w:bCs/>
          <w:color w:val="000000"/>
        </w:rPr>
        <w:t>2. Tham gia phản biện các chủ trương, chính sách của tỉnh khi có yêu cầu.</w:t>
      </w:r>
    </w:p>
    <w:p w:rsidR="005D4A70" w:rsidRDefault="005D4A70" w:rsidP="005D4A70">
      <w:pPr>
        <w:spacing w:before="60" w:after="60"/>
        <w:ind w:firstLine="720"/>
        <w:jc w:val="both"/>
        <w:rPr>
          <w:b/>
          <w:bCs/>
          <w:color w:val="000000"/>
        </w:rPr>
      </w:pPr>
      <w:r>
        <w:rPr>
          <w:b/>
          <w:bCs/>
          <w:color w:val="000000"/>
        </w:rPr>
        <w:t>IV. TỔ CHỨC THỰC HIỆN</w:t>
      </w:r>
    </w:p>
    <w:p w:rsidR="005D4A70" w:rsidRDefault="005D4A70" w:rsidP="005D4A70">
      <w:pPr>
        <w:spacing w:before="60" w:after="60"/>
        <w:ind w:firstLine="720"/>
        <w:jc w:val="both"/>
        <w:rPr>
          <w:b/>
          <w:spacing w:val="-4"/>
        </w:rPr>
      </w:pPr>
      <w:r>
        <w:rPr>
          <w:b/>
          <w:spacing w:val="-4"/>
        </w:rPr>
        <w:t xml:space="preserve">1. Ban Thường trực Ủy ban MTTQ tỉnh </w:t>
      </w:r>
    </w:p>
    <w:p w:rsidR="005D4A70" w:rsidRDefault="005D4A70" w:rsidP="005D4A70">
      <w:pPr>
        <w:spacing w:before="60" w:after="60"/>
        <w:ind w:firstLine="720"/>
        <w:jc w:val="both"/>
      </w:pPr>
      <w:r>
        <w:t>- Ban Thường trực Ủy ban MTTQ tỉnh chủ trì, phối hợp với các tổ chức chính trị - xã hội, các sở, ban, ngành và các tổ chức thành viên triển khai các chương trình phối hợp giám sát đã ký kết và các hoạt động phản biện xã hội; tiến hành sơ kết, tổng kết, đánh giá, rút kinh nghiệm và đề ra phương hướng triển khai các hoạt động giám sát, phản biện xã hội; tiếp tục tổ chức tập huấn về kỹ năng giám sát, phản biện xã hội cho cán bộ Mặt trận các cấp; tăng cường đôn đốc, kiểm tra, đánh giá các hoạt động giám sát, phản biện xã hội tại các huyện, thành phố, thị xã.</w:t>
      </w:r>
    </w:p>
    <w:p w:rsidR="005D4A70" w:rsidRDefault="005D4A70" w:rsidP="005D4A70">
      <w:pPr>
        <w:spacing w:before="60" w:after="60"/>
        <w:ind w:firstLine="720"/>
        <w:jc w:val="both"/>
      </w:pPr>
      <w:r>
        <w:t>- Gửi báo cáo kết quả thực hiện định kỳ sáu tháng và cả năm cho Thường trực Tỉnh uỷ, HĐND, UBND tỉnh.</w:t>
      </w:r>
    </w:p>
    <w:p w:rsidR="005D4A70" w:rsidRDefault="005D4A70" w:rsidP="005D4A70">
      <w:pPr>
        <w:spacing w:before="60" w:after="60"/>
        <w:ind w:firstLine="720"/>
        <w:jc w:val="both"/>
        <w:rPr>
          <w:bCs/>
          <w:color w:val="000000"/>
        </w:rPr>
      </w:pPr>
      <w:r>
        <w:rPr>
          <w:bCs/>
          <w:color w:val="000000"/>
        </w:rPr>
        <w:t>- Các ban, văn phòng  cơ quan Ủy ban MTTQ tỉnh theo chức năng, nhiệm vụ của mình căn cứ Kế hoạch này để chủ động tham mưu Ban Thường trực xây dựng kế hoạch thực hiện các chương trình giám sát theo quy định.</w:t>
      </w:r>
    </w:p>
    <w:p w:rsidR="005D4A70" w:rsidRDefault="005D4A70" w:rsidP="005D4A70">
      <w:pPr>
        <w:spacing w:before="60" w:after="60"/>
        <w:ind w:firstLine="720"/>
        <w:jc w:val="both"/>
        <w:rPr>
          <w:b/>
          <w:bCs/>
          <w:color w:val="000000"/>
        </w:rPr>
      </w:pPr>
    </w:p>
    <w:p w:rsidR="005D4A70" w:rsidRDefault="005D4A70" w:rsidP="005D4A70">
      <w:pPr>
        <w:spacing w:before="60" w:after="60"/>
        <w:ind w:firstLine="720"/>
        <w:jc w:val="both"/>
        <w:rPr>
          <w:b/>
        </w:rPr>
      </w:pPr>
      <w:r>
        <w:rPr>
          <w:b/>
          <w:bCs/>
          <w:color w:val="000000"/>
        </w:rPr>
        <w:lastRenderedPageBreak/>
        <w:t xml:space="preserve">2. </w:t>
      </w:r>
      <w:r>
        <w:rPr>
          <w:b/>
        </w:rPr>
        <w:t xml:space="preserve">Các tổ chức thành viên của MTTQ </w:t>
      </w:r>
    </w:p>
    <w:p w:rsidR="005D4A70" w:rsidRDefault="005D4A70" w:rsidP="005D4A70">
      <w:pPr>
        <w:spacing w:before="60" w:after="60"/>
        <w:ind w:firstLine="720"/>
        <w:jc w:val="both"/>
      </w:pPr>
      <w:r>
        <w:t>- Các tổ chức thành viên chủ trì các chương trình phối hợp giám sát và phản biện xã hội chủ động xây dựng kế hoạch triển khai các nội dung giám sát.</w:t>
      </w:r>
    </w:p>
    <w:p w:rsidR="005D4A70" w:rsidRDefault="005D4A70" w:rsidP="005D4A70">
      <w:pPr>
        <w:spacing w:before="60" w:after="60"/>
        <w:ind w:firstLine="720"/>
        <w:jc w:val="both"/>
      </w:pPr>
      <w:r>
        <w:t>- Các tổ chức thành viên khác tham gia các hoạt động giám sát khi có đề nghị của Ban Thường trực Ủy ban MTTQ tỉnh.</w:t>
      </w:r>
    </w:p>
    <w:p w:rsidR="005D4A70" w:rsidRDefault="005D4A70" w:rsidP="005D4A70">
      <w:pPr>
        <w:spacing w:before="60" w:after="60"/>
        <w:ind w:firstLine="720"/>
        <w:jc w:val="both"/>
        <w:rPr>
          <w:b/>
          <w:spacing w:val="-6"/>
        </w:rPr>
      </w:pPr>
      <w:r>
        <w:rPr>
          <w:b/>
          <w:spacing w:val="-6"/>
        </w:rPr>
        <w:t>3. Ủy ban MTTQ các huyện, thành phố, thị xã</w:t>
      </w:r>
    </w:p>
    <w:p w:rsidR="005D4A70" w:rsidRDefault="005D4A70" w:rsidP="005D4A70">
      <w:pPr>
        <w:spacing w:before="60" w:after="60"/>
        <w:ind w:firstLine="720"/>
        <w:jc w:val="both"/>
        <w:rPr>
          <w:color w:val="000000"/>
        </w:rPr>
      </w:pPr>
      <w:r>
        <w:t xml:space="preserve"> - Căn cứ vào tình hình và điều kiện cụ thể của từng địa phương</w:t>
      </w:r>
      <w:r>
        <w:rPr>
          <w:spacing w:val="4"/>
        </w:rPr>
        <w:t xml:space="preserve">, </w:t>
      </w:r>
      <w:r>
        <w:t xml:space="preserve">mỗi huyện, thành phố , thị xã lựa chọn những nội dung giám sát và phản biện xã hội phù hợp trên cơ sở </w:t>
      </w:r>
      <w:r>
        <w:rPr>
          <w:spacing w:val="4"/>
        </w:rPr>
        <w:t xml:space="preserve">những </w:t>
      </w:r>
      <w:r>
        <w:rPr>
          <w:shd w:val="clear" w:color="auto" w:fill="FFFFFF"/>
        </w:rPr>
        <w:t>vấn đề mà nhân dân đang rất quan tâm, bức xúc và các cấp ủy, chính quyền đồng tình, ủng hộ</w:t>
      </w:r>
      <w:r>
        <w:t xml:space="preserve">. </w:t>
      </w:r>
      <w:r>
        <w:rPr>
          <w:color w:val="000000"/>
        </w:rPr>
        <w:t xml:space="preserve">Định kỳ </w:t>
      </w:r>
      <w:r>
        <w:rPr>
          <w:spacing w:val="-2"/>
        </w:rPr>
        <w:t>6 tháng và cả năm báo cáo tình hình kết quả giám sát về Ban Thường trực Ủy ban MTTQ tỉnh. Kết quả thực hiện được sử dụng làm căn cứ xét thi đua công tác Mặt trận năm 2018.</w:t>
      </w:r>
    </w:p>
    <w:p w:rsidR="005D4A70" w:rsidRDefault="005D4A70" w:rsidP="005D4A70">
      <w:pPr>
        <w:spacing w:before="60" w:after="60"/>
        <w:ind w:firstLine="720"/>
        <w:jc w:val="both"/>
        <w:rPr>
          <w:color w:val="000000"/>
        </w:rPr>
      </w:pPr>
      <w:r>
        <w:rPr>
          <w:color w:val="000000"/>
        </w:rPr>
        <w:t>- MTTQ Việt Nam các cấp cần chú ý tăng cường hình thức nghiên cứu, xem xét văn bản (giám sát văn bản) của các cơ quan có thẩm quyền liên quan đến quyền và lợi ích hợp pháp, chính đáng của nhân dân.</w:t>
      </w:r>
    </w:p>
    <w:p w:rsidR="005D4A70" w:rsidRDefault="005D4A70" w:rsidP="005D4A70">
      <w:pPr>
        <w:spacing w:before="60" w:after="60"/>
        <w:ind w:firstLine="720"/>
        <w:jc w:val="both"/>
        <w:rPr>
          <w:b/>
          <w:spacing w:val="4"/>
        </w:rPr>
      </w:pPr>
      <w:r>
        <w:rPr>
          <w:b/>
          <w:spacing w:val="4"/>
        </w:rPr>
        <w:t>4. Chế độ thông tin, báo cáo</w:t>
      </w:r>
    </w:p>
    <w:p w:rsidR="005D4A70" w:rsidRDefault="005D4A70" w:rsidP="005D4A70">
      <w:pPr>
        <w:spacing w:before="60" w:after="60"/>
        <w:ind w:firstLine="720"/>
        <w:jc w:val="both"/>
        <w:rPr>
          <w:spacing w:val="4"/>
        </w:rPr>
      </w:pPr>
      <w:r>
        <w:rPr>
          <w:spacing w:val="4"/>
        </w:rPr>
        <w:t xml:space="preserve">Các tổ chức thành viên, Ủy ban MTTQ các huyện, thành phố và các ban, văn phòng </w:t>
      </w:r>
      <w:r>
        <w:t>thuộc cơ quan Ủy ban MTTQ tỉnh t</w:t>
      </w:r>
      <w:r>
        <w:rPr>
          <w:lang w:val="vi-VN"/>
        </w:rPr>
        <w:t>hực hiện nghiêm chế độ thông tin, báo cáo, định kỳ 06 tháng (trước ngày 1</w:t>
      </w:r>
      <w:r>
        <w:t>0</w:t>
      </w:r>
      <w:r>
        <w:rPr>
          <w:lang w:val="vi-VN"/>
        </w:rPr>
        <w:t>/6), h</w:t>
      </w:r>
      <w:r>
        <w:t>ằ</w:t>
      </w:r>
      <w:r>
        <w:rPr>
          <w:lang w:val="vi-VN"/>
        </w:rPr>
        <w:t>ng năm (trước ngày 1</w:t>
      </w:r>
      <w:r>
        <w:t>0</w:t>
      </w:r>
      <w:r>
        <w:rPr>
          <w:lang w:val="vi-VN"/>
        </w:rPr>
        <w:t xml:space="preserve">/12) </w:t>
      </w:r>
      <w:r>
        <w:t xml:space="preserve">xây dựng </w:t>
      </w:r>
      <w:r>
        <w:rPr>
          <w:lang w:val="vi-VN"/>
        </w:rPr>
        <w:t xml:space="preserve">báo cáo </w:t>
      </w:r>
      <w:r>
        <w:t>tình hình triển khai</w:t>
      </w:r>
      <w:r>
        <w:rPr>
          <w:lang w:val="vi-VN"/>
        </w:rPr>
        <w:t xml:space="preserve"> thực hiện </w:t>
      </w:r>
      <w:r>
        <w:t xml:space="preserve">các chương trình phối hợp giám sát và hoạt động phản biện xã hội gửi </w:t>
      </w:r>
      <w:r>
        <w:rPr>
          <w:lang w:val="vi-VN"/>
        </w:rPr>
        <w:t xml:space="preserve">về </w:t>
      </w:r>
      <w:r>
        <w:t xml:space="preserve">Ban Dân chủ - Pháp luật (qua </w:t>
      </w:r>
      <w:r>
        <w:rPr>
          <w:spacing w:val="-2"/>
          <w:lang w:val="vi-VN"/>
        </w:rPr>
        <w:t xml:space="preserve">địa chỉ </w:t>
      </w:r>
      <w:r>
        <w:rPr>
          <w:spacing w:val="-2"/>
        </w:rPr>
        <w:t>E</w:t>
      </w:r>
      <w:r>
        <w:rPr>
          <w:spacing w:val="-2"/>
          <w:lang w:val="vi-VN"/>
        </w:rPr>
        <w:t>mail: bandcpl</w:t>
      </w:r>
      <w:r>
        <w:rPr>
          <w:spacing w:val="-2"/>
        </w:rPr>
        <w:t>.</w:t>
      </w:r>
      <w:r>
        <w:rPr>
          <w:spacing w:val="-2"/>
          <w:lang w:val="vi-VN"/>
        </w:rPr>
        <w:t>mtt</w:t>
      </w:r>
      <w:r>
        <w:rPr>
          <w:spacing w:val="-2"/>
        </w:rPr>
        <w:t>qht</w:t>
      </w:r>
      <w:r>
        <w:rPr>
          <w:spacing w:val="-2"/>
          <w:lang w:val="vi-VN"/>
        </w:rPr>
        <w:t>@gmail.com)</w:t>
      </w:r>
      <w:r>
        <w:t xml:space="preserve"> để tổng hợp, báo cáo gửi các cơ quan, tổ chức.</w:t>
      </w:r>
    </w:p>
    <w:p w:rsidR="005D4A70" w:rsidRDefault="005D4A70" w:rsidP="005D4A70">
      <w:pPr>
        <w:spacing w:before="60" w:after="60"/>
        <w:ind w:firstLine="720"/>
        <w:jc w:val="both"/>
      </w:pPr>
      <w:r>
        <w:t>Đề nghị các tổ chức thành viên, Ủy ban MTTQ các huyện, thành phố, thị xã và các ban, văn phòng của Ủy ban MTTQ tỉnh khẩn trương, nghiêm túc triển khai thực hiện kế hoạch này.</w:t>
      </w:r>
    </w:p>
    <w:tbl>
      <w:tblPr>
        <w:tblW w:w="10228" w:type="dxa"/>
        <w:tblLook w:val="01E0"/>
      </w:tblPr>
      <w:tblGrid>
        <w:gridCol w:w="4783"/>
        <w:gridCol w:w="5445"/>
      </w:tblGrid>
      <w:tr w:rsidR="005D4A70" w:rsidTr="002466A6">
        <w:tc>
          <w:tcPr>
            <w:tcW w:w="4783" w:type="dxa"/>
          </w:tcPr>
          <w:p w:rsidR="005D4A70" w:rsidRDefault="005D4A70" w:rsidP="002466A6">
            <w:pPr>
              <w:jc w:val="both"/>
              <w:rPr>
                <w:b/>
                <w:i/>
                <w:color w:val="000000"/>
                <w:sz w:val="24"/>
                <w:szCs w:val="24"/>
              </w:rPr>
            </w:pPr>
          </w:p>
          <w:p w:rsidR="005D4A70" w:rsidRDefault="005D4A70" w:rsidP="002466A6">
            <w:pPr>
              <w:jc w:val="both"/>
              <w:rPr>
                <w:b/>
                <w:i/>
                <w:color w:val="000000"/>
                <w:sz w:val="24"/>
                <w:szCs w:val="24"/>
              </w:rPr>
            </w:pPr>
          </w:p>
          <w:p w:rsidR="005D4A70" w:rsidRDefault="005D4A70" w:rsidP="002466A6">
            <w:pPr>
              <w:jc w:val="both"/>
              <w:rPr>
                <w:b/>
                <w:i/>
                <w:color w:val="000000"/>
                <w:sz w:val="24"/>
                <w:szCs w:val="24"/>
              </w:rPr>
            </w:pPr>
            <w:r>
              <w:rPr>
                <w:b/>
                <w:i/>
                <w:color w:val="000000"/>
                <w:sz w:val="24"/>
                <w:szCs w:val="24"/>
              </w:rPr>
              <w:t>Nơi nhận:</w:t>
            </w:r>
          </w:p>
          <w:p w:rsidR="005D4A70" w:rsidRDefault="005D4A70" w:rsidP="002466A6">
            <w:pPr>
              <w:jc w:val="both"/>
              <w:rPr>
                <w:color w:val="000000"/>
                <w:sz w:val="24"/>
                <w:szCs w:val="24"/>
              </w:rPr>
            </w:pPr>
            <w:r>
              <w:rPr>
                <w:color w:val="000000"/>
                <w:sz w:val="24"/>
                <w:szCs w:val="24"/>
              </w:rPr>
              <w:t>- Tỉnh uỷ (để bc);</w:t>
            </w:r>
          </w:p>
          <w:p w:rsidR="005D4A70" w:rsidRDefault="005D4A70" w:rsidP="002466A6">
            <w:pPr>
              <w:jc w:val="both"/>
              <w:rPr>
                <w:color w:val="000000"/>
                <w:sz w:val="22"/>
                <w:szCs w:val="22"/>
              </w:rPr>
            </w:pPr>
            <w:r>
              <w:rPr>
                <w:color w:val="000000"/>
                <w:sz w:val="22"/>
                <w:szCs w:val="22"/>
              </w:rPr>
              <w:t>- HĐND tỉnh;</w:t>
            </w:r>
          </w:p>
          <w:p w:rsidR="005D4A70" w:rsidRDefault="005D4A70" w:rsidP="002466A6">
            <w:pPr>
              <w:jc w:val="both"/>
              <w:rPr>
                <w:color w:val="000000"/>
                <w:sz w:val="22"/>
                <w:szCs w:val="22"/>
              </w:rPr>
            </w:pPr>
            <w:r>
              <w:rPr>
                <w:color w:val="000000"/>
                <w:sz w:val="22"/>
                <w:szCs w:val="22"/>
              </w:rPr>
              <w:t>- UBND tỉnh;</w:t>
            </w:r>
          </w:p>
          <w:p w:rsidR="005D4A70" w:rsidRDefault="005D4A70" w:rsidP="002466A6">
            <w:pPr>
              <w:jc w:val="both"/>
              <w:rPr>
                <w:color w:val="000000"/>
                <w:sz w:val="22"/>
                <w:szCs w:val="22"/>
              </w:rPr>
            </w:pPr>
            <w:r>
              <w:rPr>
                <w:color w:val="000000"/>
                <w:sz w:val="22"/>
                <w:szCs w:val="22"/>
              </w:rPr>
              <w:t>- Ban Dân vận Tỉnh uỷ;</w:t>
            </w:r>
          </w:p>
          <w:p w:rsidR="005D4A70" w:rsidRDefault="005D4A70" w:rsidP="002466A6">
            <w:pPr>
              <w:tabs>
                <w:tab w:val="center" w:pos="4320"/>
                <w:tab w:val="right" w:pos="8640"/>
              </w:tabs>
              <w:jc w:val="both"/>
              <w:rPr>
                <w:sz w:val="22"/>
                <w:szCs w:val="22"/>
              </w:rPr>
            </w:pPr>
            <w:r>
              <w:rPr>
                <w:sz w:val="22"/>
                <w:szCs w:val="22"/>
              </w:rPr>
              <w:t>- Các tổ chức chính trị - xã hội;</w:t>
            </w:r>
          </w:p>
          <w:p w:rsidR="005D4A70" w:rsidRDefault="005D4A70" w:rsidP="002466A6">
            <w:pPr>
              <w:tabs>
                <w:tab w:val="center" w:pos="4320"/>
                <w:tab w:val="right" w:pos="8640"/>
              </w:tabs>
              <w:jc w:val="both"/>
              <w:rPr>
                <w:sz w:val="22"/>
                <w:szCs w:val="22"/>
              </w:rPr>
            </w:pPr>
            <w:r>
              <w:rPr>
                <w:sz w:val="22"/>
                <w:szCs w:val="22"/>
              </w:rPr>
              <w:t xml:space="preserve">- BTT MTTQ tỉnh; </w:t>
            </w:r>
          </w:p>
          <w:p w:rsidR="005D4A70" w:rsidRDefault="005D4A70" w:rsidP="002466A6">
            <w:pPr>
              <w:tabs>
                <w:tab w:val="center" w:pos="4320"/>
                <w:tab w:val="right" w:pos="8640"/>
              </w:tabs>
              <w:jc w:val="both"/>
              <w:rPr>
                <w:sz w:val="22"/>
                <w:szCs w:val="22"/>
              </w:rPr>
            </w:pPr>
            <w:r>
              <w:rPr>
                <w:sz w:val="22"/>
                <w:szCs w:val="22"/>
                <w:lang w:val="vi-VN"/>
              </w:rPr>
              <w:t>- Các ban, đơn vị</w:t>
            </w:r>
            <w:r>
              <w:rPr>
                <w:sz w:val="22"/>
                <w:szCs w:val="22"/>
              </w:rPr>
              <w:t xml:space="preserve"> liên quan</w:t>
            </w:r>
            <w:r>
              <w:rPr>
                <w:sz w:val="22"/>
                <w:szCs w:val="22"/>
                <w:lang w:val="vi-VN"/>
              </w:rPr>
              <w:t>;</w:t>
            </w:r>
          </w:p>
          <w:p w:rsidR="005D4A70" w:rsidRDefault="005D4A70" w:rsidP="002466A6">
            <w:pPr>
              <w:tabs>
                <w:tab w:val="center" w:pos="4320"/>
                <w:tab w:val="right" w:pos="8640"/>
              </w:tabs>
              <w:jc w:val="both"/>
              <w:rPr>
                <w:sz w:val="22"/>
                <w:szCs w:val="22"/>
              </w:rPr>
            </w:pPr>
            <w:r>
              <w:rPr>
                <w:sz w:val="22"/>
                <w:szCs w:val="22"/>
              </w:rPr>
              <w:t>- Ủy ban MTTQVN các huyện, thành phố, TX;</w:t>
            </w:r>
          </w:p>
          <w:p w:rsidR="005D4A70" w:rsidRDefault="005D4A70" w:rsidP="002466A6">
            <w:pPr>
              <w:jc w:val="both"/>
              <w:rPr>
                <w:color w:val="000000"/>
                <w:lang w:val="vi-VN"/>
              </w:rPr>
            </w:pPr>
            <w:r>
              <w:rPr>
                <w:sz w:val="22"/>
                <w:szCs w:val="22"/>
                <w:lang w:val="vi-VN"/>
              </w:rPr>
              <w:t>- Lưu: VT, DCPL.</w:t>
            </w:r>
          </w:p>
        </w:tc>
        <w:tc>
          <w:tcPr>
            <w:tcW w:w="5445" w:type="dxa"/>
          </w:tcPr>
          <w:p w:rsidR="005D4A70" w:rsidRDefault="005D4A70" w:rsidP="002466A6">
            <w:pPr>
              <w:jc w:val="center"/>
              <w:rPr>
                <w:color w:val="000000"/>
                <w:lang w:val="vi-VN"/>
              </w:rPr>
            </w:pPr>
            <w:r>
              <w:rPr>
                <w:color w:val="000000"/>
                <w:lang w:val="vi-VN"/>
              </w:rPr>
              <w:t>TM. BAN THƯỜNG TRỰC</w:t>
            </w:r>
          </w:p>
          <w:p w:rsidR="005D4A70" w:rsidRDefault="005D4A70" w:rsidP="002466A6">
            <w:pPr>
              <w:jc w:val="center"/>
              <w:rPr>
                <w:b/>
                <w:color w:val="000000"/>
              </w:rPr>
            </w:pPr>
            <w:r>
              <w:rPr>
                <w:b/>
                <w:color w:val="000000"/>
                <w:lang w:val="vi-VN"/>
              </w:rPr>
              <w:t>CHỦ TỊCH</w:t>
            </w:r>
          </w:p>
          <w:p w:rsidR="005D4A70" w:rsidRDefault="005D4A70" w:rsidP="002466A6">
            <w:pPr>
              <w:jc w:val="center"/>
              <w:rPr>
                <w:b/>
                <w:color w:val="000000"/>
              </w:rPr>
            </w:pPr>
          </w:p>
          <w:p w:rsidR="005D4A70" w:rsidRDefault="005D4A70" w:rsidP="002466A6">
            <w:pPr>
              <w:jc w:val="center"/>
              <w:rPr>
                <w:b/>
                <w:i/>
                <w:color w:val="000000"/>
                <w:sz w:val="24"/>
                <w:szCs w:val="24"/>
              </w:rPr>
            </w:pPr>
            <w:r>
              <w:rPr>
                <w:b/>
                <w:i/>
                <w:color w:val="000000"/>
                <w:sz w:val="24"/>
                <w:szCs w:val="24"/>
              </w:rPr>
              <w:t>(Đã ký)</w:t>
            </w:r>
          </w:p>
          <w:p w:rsidR="005D4A70" w:rsidRDefault="005D4A70" w:rsidP="002466A6">
            <w:pPr>
              <w:jc w:val="center"/>
              <w:rPr>
                <w:b/>
                <w:i/>
                <w:color w:val="000000"/>
              </w:rPr>
            </w:pPr>
          </w:p>
          <w:p w:rsidR="005D4A70" w:rsidRDefault="005D4A70" w:rsidP="002466A6">
            <w:pPr>
              <w:jc w:val="center"/>
              <w:rPr>
                <w:b/>
                <w:i/>
                <w:color w:val="000000"/>
              </w:rPr>
            </w:pPr>
          </w:p>
          <w:p w:rsidR="005D4A70" w:rsidRDefault="005D4A70" w:rsidP="002466A6">
            <w:pPr>
              <w:jc w:val="center"/>
              <w:rPr>
                <w:b/>
                <w:color w:val="000000"/>
                <w:lang w:val="vi-VN"/>
              </w:rPr>
            </w:pPr>
          </w:p>
          <w:p w:rsidR="005D4A70" w:rsidRDefault="005D4A70" w:rsidP="002466A6">
            <w:pPr>
              <w:jc w:val="center"/>
              <w:rPr>
                <w:b/>
                <w:color w:val="000000"/>
              </w:rPr>
            </w:pPr>
            <w:r>
              <w:rPr>
                <w:b/>
                <w:color w:val="000000"/>
              </w:rPr>
              <w:t>Từ Văn Diện</w:t>
            </w:r>
          </w:p>
        </w:tc>
      </w:tr>
    </w:tbl>
    <w:p w:rsidR="005D4A70" w:rsidRDefault="005D4A70" w:rsidP="005D4A70">
      <w:pPr>
        <w:spacing w:before="120" w:after="120" w:line="320" w:lineRule="exact"/>
        <w:ind w:firstLine="720"/>
        <w:jc w:val="both"/>
        <w:rPr>
          <w:bCs/>
          <w:color w:val="000000"/>
        </w:rPr>
      </w:pPr>
    </w:p>
    <w:p w:rsidR="005D4A70" w:rsidRDefault="005D4A70" w:rsidP="005D4A70">
      <w:pPr>
        <w:ind w:firstLine="720"/>
        <w:jc w:val="both"/>
        <w:rPr>
          <w:szCs w:val="26"/>
        </w:rPr>
      </w:pPr>
    </w:p>
    <w:p w:rsidR="005D4A70" w:rsidRDefault="005D4A70" w:rsidP="005D4A70"/>
    <w:p w:rsidR="005D4A70" w:rsidRDefault="005D4A70" w:rsidP="005D4A70">
      <w:bookmarkStart w:id="0" w:name="_GoBack"/>
      <w:bookmarkEnd w:id="0"/>
    </w:p>
    <w:p w:rsidR="00D30D66" w:rsidRDefault="005D4A70" w:rsidP="005D4A70">
      <w:pPr>
        <w:tabs>
          <w:tab w:val="left" w:pos="9214"/>
        </w:tabs>
      </w:pPr>
    </w:p>
    <w:sectPr w:rsidR="00D30D66" w:rsidSect="005D4A70">
      <w:pgSz w:w="12240" w:h="15840"/>
      <w:pgMar w:top="567"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5D4A70"/>
    <w:rsid w:val="00355DF2"/>
    <w:rsid w:val="003A07ED"/>
    <w:rsid w:val="005D4A70"/>
    <w:rsid w:val="00DD645D"/>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70"/>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A70"/>
    <w:pPr>
      <w:spacing w:before="100" w:beforeAutospacing="1" w:after="100" w:afterAutospacing="1"/>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2018-03-13T07:42:00Z</dcterms:created>
  <dcterms:modified xsi:type="dcterms:W3CDTF">2018-03-13T07:43:00Z</dcterms:modified>
</cp:coreProperties>
</file>